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r>
        <w:rPr>
          <w:rFonts w:hint="eastAsia"/>
          <w:b/>
          <w:bCs/>
          <w:sz w:val="32"/>
          <w:szCs w:val="32"/>
          <w:lang w:val="en-US" w:eastAsia="zh-CN"/>
        </w:rPr>
        <w:t>第一批重点项目指南目录</w:t>
      </w:r>
      <w:bookmarkStart w:id="0" w:name="_GoBack"/>
      <w:bookmarkEnd w:id="0"/>
    </w:p>
    <w:tbl>
      <w:tblPr>
        <w:tblStyle w:val="3"/>
        <w:tblpPr w:leftFromText="180" w:rightFromText="180" w:vertAnchor="page" w:horzAnchor="page" w:tblpXSpec="center" w:tblpY="2268"/>
        <w:tblOverlap w:val="never"/>
        <w:tblW w:w="10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525"/>
        <w:gridCol w:w="2827"/>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序 号</w:t>
            </w:r>
          </w:p>
        </w:tc>
        <w:tc>
          <w:tcPr>
            <w:tcW w:w="2525" w:type="dxa"/>
            <w:vAlign w:val="center"/>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专业分组</w:t>
            </w:r>
          </w:p>
        </w:tc>
        <w:tc>
          <w:tcPr>
            <w:tcW w:w="2827"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榜单/指南编号</w:t>
            </w:r>
          </w:p>
        </w:tc>
        <w:tc>
          <w:tcPr>
            <w:tcW w:w="4292"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榜单/指南名称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2022-B-I-001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亚（超）声速多点匹配Ma5级新一代宽域飞行器概念研究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宽空域、宽速域航空发动机多部件、多模态、多调节机构变维度匹配仿真研究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宽空域、宽速域航空发动机系统环境强瞬变载荷下的结构安全研究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适用于宽空域、宽速域航空发动机安装性能分析及进排气系统特性模化研究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2022-B-I-005</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宽空域、宽速域航空发动机气动热力学模型研究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2022-B-I-006</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宽空域、宽速域航空发动机排气系统高效匹配研究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2022-B-I-007</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宽空域、宽速域航空发动机与飞行器综合热管理研究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2022-B-I-008</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新一代航空发动机复杂系统多学科协同设计平台研究与开发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2022-B-I-009</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宽空域、宽速域航空发动机控制规律优化技术研究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超宽可调范围风扇气动设计与调节方法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超高通流宽适应性核心机驱动风扇设计方法研究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高负荷宽适应性多级轴流压气机气动布局和设计方法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基于可控变形叶片的宽工况高流通风扇设计方法与验证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2022-B-II-005</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宽空域压气机流场自适应调控方法研究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2022-B-II-006</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宽适应性压气机封严流与主流耦合机理与控制研究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2022-B-II-007</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高负荷压气机全工况适应性扩稳方法研究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2022-B-II-008</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宽适应性高负荷低压涡轮流动机理与设计调节方法研究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2022-B-II-009</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超宽工况涡轮气冷叶片损失机理及控制方法研究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2022-B-II-010</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宽落压比多涵道隐身喷管气动和红外综合设计及匹配方法研究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高负荷多级风扇噪声高效预测及低噪声设计方法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三涵道变循环发动机喷流噪声机理、预测及控制技术研究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跨速域加力燃烧室高阶热声耦合震荡模态控制方法研究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复杂进气条件下低压损双变燃烧室燃烧组织方法研究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2022-B-II-015</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宽域加力燃烧室高效低阻燃烧组织方法研究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2022-B-II-016</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高效低阻扩压器流场组织方法研究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2022-B-II-017</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水蒸气环境中灵活燃料纯氧基础燃烧特性及反应机理研究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2022-B-II-018</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宽空域宽速域条件下双变燃烧室燃烧调控方法研究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2022-B-II-019</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高速大畸变来流下加力燃烧室火焰稳定特性研究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2022-B-II-020</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水蒸气环境中灵活燃料纯氧湍流燃烧模型开发及模拟研究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双变燃烧室模态转换特性与控制方法研究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二次流冷气制冷系统及关键技术研究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局部高温区域、狭小空间超强热量散热方法研究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高负荷涡轮导叶高效复合冷却结构设计及其传热特性研究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2022-B-II-025</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高热负荷陶瓷基涡轮叶片功能梯度复合材料主动冷却结构设计方法研究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2022-B-II-026</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考虑双变燃烧室出口特征的可调涡轮导叶冷却设计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2022-B-II-027</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基于热管技术的航空发动机涡轮叶片新型高效冷却方法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2022-B-II-028</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燃氢燃气轮机透平叶片高效冷却方法及模型验证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2022-B-II-029</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微纳尺度涡轮叶片高效冷却技术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变几何涡轮可调机构密封结构设计及失效检测方法研究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高转速宽适应性转子-智能支承结构系统振动主动控制设计方法研究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面向超高温环境的转子柔性支承空心内冷主轴轴承及支点结构设计研究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近高温燃烧室短跨距磁悬浮轴承设计方法研究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2022-B-III-005</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双层壁单晶叶片气冷结构蠕变失效机理与寿命预测研究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2022-B-III-006</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热机械疲劳对压气机叶片振动疲劳性能影响机理和预测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2022-B-III-007</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第四代粉末高温合金涡轮盘缘疲劳失效机理和寿命预测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2022-B-III-008</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增材制造高温合金短裂纹扩展机理及疲劳极限预测方法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2022-B-III-009</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高温复合材料结构损伤原位智能感知及力学性能在线评价方法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2022-B-IV-001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承温1500℃及以上的高压涡轮导向叶片用高温结构材料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49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承温1400℃及以上的高压涡轮工作叶片用高温结构材料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承温1600℃及以上的高温结构材料高温防护用热（环境障或抗氧化）涂层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承温1220℃以上、满足冷效可达0.8工艺性的高压涡轮导向叶片用高温结构材料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2022-B-IV-005</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承温1150℃以上、满足冷效可达0.8工艺性的高压涡轮导向叶片用高温结构材料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2022-B-IV-006</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适用于发动机热端部件的精细热管理功能涂层与结构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2022-B-IV-007</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承温850℃盘件用高温结构材料与技术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2022-B-IV-008</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氢混燃机叶片与燃烧室用抗氢环境材料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2022-B-IV-009</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新一代航空发动机和燃气轮机模拟服役环境下材料性能表征与损伤机制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2022-B-IV-0010</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耐高温合金材料复杂结构电化学加工新方法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2022-B-IV-0011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钛铝系金属间化合物冷喷涂增材制造新方法及其强韧性调控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59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2022-B-IV-0012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耐高温材料复杂结构增减材复合制造新方法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2022-B-IV-0013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复合材料制造缺陷的高效精准检测方法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2022-B-IV-0014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复合材料叶片用预制体一体化设计与制造技术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控制与测试组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2022-B-V-001</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基于机载实时模型的高通流双变循环发动机控制计划优化研究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控制与测试组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2022-B-V-002</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高通流双变循环发动机多燃烧室协调控制和推力控制方法研究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控制与测试组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2022-B-V-003</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高通流双变循环发动机控制系统综合热管理及耐超高温执行机构技术研究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控制与测试组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2022-B-V-004</w:t>
            </w:r>
          </w:p>
        </w:tc>
        <w:tc>
          <w:tcPr>
            <w:tcW w:w="4292"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氢混-纯氧燃气轮机控制机理研究</w:t>
            </w:r>
          </w:p>
        </w:tc>
      </w:tr>
    </w:tbl>
    <w:p>
      <w:pPr>
        <w:jc w:val="both"/>
        <w:rPr>
          <w:rFonts w:hint="default"/>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MTgzZmJjNmY3ZDRiNjRhMjJiNzk3YjU5YjlkMzkifQ=="/>
  </w:docVars>
  <w:rsids>
    <w:rsidRoot w:val="00000000"/>
    <w:rsid w:val="06626994"/>
    <w:rsid w:val="099A261E"/>
    <w:rsid w:val="0AE369D4"/>
    <w:rsid w:val="15283597"/>
    <w:rsid w:val="368649A8"/>
    <w:rsid w:val="46C17E72"/>
    <w:rsid w:val="4E212D3E"/>
    <w:rsid w:val="78E65A17"/>
    <w:rsid w:val="7A61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2078</Words>
  <Characters>2938</Characters>
  <Lines>0</Lines>
  <Paragraphs>0</Paragraphs>
  <TotalTime>1</TotalTime>
  <ScaleCrop>false</ScaleCrop>
  <LinksUpToDate>false</LinksUpToDate>
  <CharactersWithSpaces>2939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YMH</cp:lastModifiedBy>
  <dcterms:modified xsi:type="dcterms:W3CDTF">2022-05-31T04:06:49Z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19475198FB534F6E9359A8E10B5D0E9F</vt:lpwstr>
  </property>
</Properties>
</file>